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Магеррамовой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Самиры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Самаркандовны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Магеррамова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12 месяцев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Магеррамова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Магеррамов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7 ст. 431 НК РФ плательщики, указанные в </w:t>
      </w:r>
      <w:hyperlink r:id="rId4"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4"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Магеррамовой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Магеррамовой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Магеррамовой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Магеррамов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Самиру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Самаркандовн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149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0412365400665014932415154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20rplc-39">
    <w:name w:val="cat-SumInWords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2\&#1040;&#1044;&#1052;&#1048;&#1053;&#1048;&#1057;&#1058;&#1056;&#1040;&#1058;&#1048;&#1042;&#1053;&#1067;&#1045;%20&#1044;&#1045;&#1051;&#1040;\2024\10.07.2024\&#1047;&#1072;&#1082;&#1080;&#1088;&#1086;&#1074;&#1072;%20&#1053;&#1042;%2015.5%20%20&#1089;&#1090;&#1088;&#1072;&#1093;%20&#1074;&#1079;&#1085;&#1086;&#1089;%20-%201464%20&#1096;&#1090;&#1088;&#1072;&#1092;%20-%20&#1089;&#1091;%2011.docx" TargetMode="External" /><Relationship Id="rId5" Type="http://schemas.openxmlformats.org/officeDocument/2006/relationships/hyperlink" Target="garantF1://71423960.1000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